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77777777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UDFI 6308 «Қаржылық институттардың тәуекел-менеджменті»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77777777" w:rsidR="00D46EC1" w:rsidRPr="00432766" w:rsidRDefault="00D46EC1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77777777" w:rsidR="00D46EC1" w:rsidRPr="00E32206" w:rsidRDefault="00D46EC1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Магистранттың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</w:rPr>
              <w:t>Практ</w:t>
            </w:r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Лаб</w:t>
            </w:r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77777777" w:rsidR="00E32206" w:rsidRPr="00E32206" w:rsidRDefault="00E32206" w:rsidP="001B08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7098F" w:rsidRPr="0067098F">
              <w:rPr>
                <w:b/>
                <w:sz w:val="20"/>
                <w:szCs w:val="20"/>
                <w:lang w:val="kk-KZ"/>
              </w:rPr>
              <w:t>UDFI 6308</w:t>
            </w:r>
          </w:p>
        </w:tc>
        <w:tc>
          <w:tcPr>
            <w:tcW w:w="1417" w:type="dxa"/>
          </w:tcPr>
          <w:p w14:paraId="3214FA0D" w14:textId="64774D3D" w:rsidR="00E32206" w:rsidRPr="002B4B37" w:rsidRDefault="002B4B3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Исламдық бағалы қағаздар</w:t>
            </w:r>
            <w:r w:rsidR="005E1533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 нарығы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Курс бойынша академиялық ақпарат</w:t>
            </w:r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r w:rsidRPr="00A0495D">
              <w:rPr>
                <w:b/>
              </w:rPr>
              <w:t>Оқыту түрі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Курстың түрі / сипаты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(практикалық) сабақтарының түрлері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0495D">
              <w:rPr>
                <w:b/>
                <w:sz w:val="20"/>
                <w:szCs w:val="20"/>
              </w:rPr>
              <w:t xml:space="preserve">Қорытынды бақылау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r w:rsidRPr="00E32206">
              <w:t>аралас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пікірталас,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Дәріскер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r w:rsidRPr="002B4B37">
              <w:rPr>
                <w:sz w:val="22"/>
                <w:szCs w:val="22"/>
                <w:lang w:val="en-US"/>
              </w:rPr>
              <w:t>Ph.D</w:t>
            </w:r>
            <w:r w:rsidRPr="002B4B37">
              <w:rPr>
                <w:sz w:val="22"/>
                <w:szCs w:val="22"/>
              </w:rPr>
              <w:t>, доцент КазНУ</w:t>
            </w:r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Байланыс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r w:rsidRPr="00E32206">
              <w:rPr>
                <w:b/>
                <w:sz w:val="20"/>
                <w:szCs w:val="20"/>
              </w:rPr>
              <w:t>еминар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r w:rsidRPr="002B4B37">
              <w:rPr>
                <w:sz w:val="22"/>
                <w:szCs w:val="22"/>
                <w:lang w:val="en-US"/>
              </w:rPr>
              <w:t>Ph.D</w:t>
            </w:r>
            <w:r w:rsidRPr="002B4B37">
              <w:rPr>
                <w:sz w:val="22"/>
                <w:szCs w:val="22"/>
              </w:rPr>
              <w:t>, доцент КазНУ</w:t>
            </w:r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Байланыс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Академиялық курс презентациясы</w:t>
            </w:r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Академиялық курс презентациясы</w:t>
            </w:r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Оқытудан күтілетін нәтижелер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Жетістік индикаторлары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функциялар мен міндеттерді оқу жағдайында 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Fabozzi F.J., Mann S.V. Securities Finance. John Wiley &amp; Sons, Inc, 2010.</w:t>
            </w:r>
          </w:p>
          <w:p w14:paraId="12C8ADB2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2. Ranald Michie. The global securities market. A history. Oxford University Press, USA, 2009</w:t>
            </w:r>
          </w:p>
          <w:p w14:paraId="37BC397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Financial Institutions and Markets, 2010</w:t>
            </w:r>
          </w:p>
          <w:p w14:paraId="4AF46B3B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Кидуэлл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Петерсон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Блэкуэлл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>Финансовые институты, рынки и деньги. – Спб., Питер, 2009 г.</w:t>
            </w:r>
          </w:p>
          <w:p w14:paraId="1DC2A5B4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FINANCIAL MARKETS - GLOBAL EDITION, 2011</w:t>
            </w:r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2. Jesper Blomberg.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6.Дэвид С. Кидуэлл, Ричард Л.Петерсон., Дэвид У.Блэкуэлл. Финансовые институты, 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lastRenderedPageBreak/>
              <w:t xml:space="preserve">Университеттік моральдық-этикалық құндылықтар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Барлық білім алушылар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тіркелу қажет. Онлайн курс модул</w:t>
            </w:r>
            <w:r w:rsidRPr="00B42D46">
              <w:rPr>
                <w:sz w:val="20"/>
                <w:szCs w:val="20"/>
                <w:lang w:val="kk-KZ"/>
              </w:rPr>
              <w:t>ь</w:t>
            </w:r>
            <w:r w:rsidRPr="00B42D46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r w:rsidRPr="00B42D46">
              <w:rPr>
                <w:sz w:val="20"/>
                <w:szCs w:val="20"/>
              </w:rPr>
              <w:t xml:space="preserve">Дедлайндарды сақтамау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r w:rsidRPr="00B42D46">
              <w:rPr>
                <w:sz w:val="20"/>
                <w:szCs w:val="20"/>
              </w:rPr>
              <w:t>ды</w:t>
            </w:r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Академиялық құндылықтар: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 xml:space="preserve">Практикалық / зертханалық сабақтар,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өзіндік, шығармашылық сипатта болуы керек.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Мүмкіндігі шектеулі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-мекенжай</w:t>
            </w:r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Критериалды бағалау: </w:t>
            </w:r>
            <w:r w:rsidRPr="00B42D46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 xml:space="preserve">Жиынтық бағалау: </w:t>
            </w:r>
            <w:r w:rsidRPr="00B42D46">
              <w:rPr>
                <w:sz w:val="20"/>
                <w:szCs w:val="20"/>
              </w:rPr>
              <w:t xml:space="preserve">аудиториядағы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B42D46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1E6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51E6">
              <w:rPr>
                <w:sz w:val="20"/>
                <w:szCs w:val="20"/>
              </w:rPr>
              <w:t>Білімді бағалау формасы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</w:rPr>
              <w:t>Сабақты өткізу түрі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ҚР қор нарығын қалыптастыру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ҚР қор нарығын қалыптастыру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сұрақтар</w:t>
            </w:r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</w:rPr>
              <w:lastRenderedPageBreak/>
              <w:t>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13A55">
              <w:rPr>
                <w:sz w:val="20"/>
                <w:szCs w:val="20"/>
              </w:rPr>
              <w:t xml:space="preserve">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(Midterm Exam)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нарығының қатысушылары және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F13A55">
              <w:rPr>
                <w:sz w:val="20"/>
                <w:szCs w:val="20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-  сұрақтарды топта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Zoom-да </w:t>
            </w:r>
            <w:r w:rsidRPr="00B42D46">
              <w:rPr>
                <w:sz w:val="20"/>
                <w:szCs w:val="20"/>
              </w:rPr>
              <w:t>бейнедәріс</w:t>
            </w:r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D75-F425-8642-BCC7-31D990CA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1973</Words>
  <Characters>11247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3</cp:revision>
  <dcterms:created xsi:type="dcterms:W3CDTF">2021-09-21T10:06:00Z</dcterms:created>
  <dcterms:modified xsi:type="dcterms:W3CDTF">2021-09-21T10:06:00Z</dcterms:modified>
</cp:coreProperties>
</file>